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12717" w:rsidTr="00C12717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C12717" w:rsidRPr="00C12717" w:rsidRDefault="00C12717" w:rsidP="002F3802">
            <w:pPr>
              <w:widowControl/>
              <w:snapToGrid w:val="0"/>
              <w:spacing w:beforeLines="50" w:before="120" w:line="240" w:lineRule="atLeast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12717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國立空中大學花蓮學習指導中心</w:t>
            </w:r>
          </w:p>
          <w:p w:rsidR="00C12717" w:rsidRPr="00C12717" w:rsidRDefault="00C12717" w:rsidP="002F3802">
            <w:pPr>
              <w:widowControl/>
              <w:snapToGrid w:val="0"/>
              <w:spacing w:beforeLines="50" w:before="120" w:line="24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48"/>
                <w:szCs w:val="48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12717">
              <w:rPr>
                <w:rFonts w:ascii="標楷體" w:eastAsia="標楷體" w:hAnsi="標楷體" w:hint="eastAsia"/>
                <w:color w:val="000000"/>
                <w:spacing w:val="-10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103年第2期「</w:t>
            </w:r>
            <w:r w:rsidRPr="00C12717">
              <w:rPr>
                <w:rFonts w:ascii="標楷體" w:eastAsia="標楷體" w:hAnsi="標楷體" w:hint="eastAsia"/>
                <w:color w:val="000000"/>
                <w:spacing w:val="-10"/>
                <w:sz w:val="44"/>
                <w:szCs w:val="44"/>
                <w:u w:val="singl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測量人員專業教育訓練班</w:t>
            </w:r>
            <w:r w:rsidRPr="00C12717">
              <w:rPr>
                <w:rFonts w:ascii="標楷體" w:eastAsia="標楷體" w:hAnsi="標楷體" w:hint="eastAsia"/>
                <w:color w:val="000000"/>
                <w:spacing w:val="-10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」招生簡章</w:t>
            </w:r>
          </w:p>
        </w:tc>
      </w:tr>
    </w:tbl>
    <w:p w:rsidR="00C12717" w:rsidRDefault="00C12717" w:rsidP="00C12717">
      <w:pPr>
        <w:jc w:val="right"/>
        <w:rPr>
          <w:rFonts w:ascii="華康娃娃體(P)" w:eastAsia="華康娃娃體(P)" w:hAnsi="標楷體"/>
          <w:sz w:val="16"/>
          <w:szCs w:val="16"/>
        </w:rPr>
      </w:pPr>
    </w:p>
    <w:p w:rsidR="00C12717" w:rsidRDefault="00C12717" w:rsidP="00C12717">
      <w:pPr>
        <w:numPr>
          <w:ilvl w:val="0"/>
          <w:numId w:val="1"/>
        </w:numPr>
        <w:tabs>
          <w:tab w:val="clear" w:pos="450"/>
          <w:tab w:val="num" w:pos="720"/>
        </w:tabs>
        <w:snapToGrid w:val="0"/>
        <w:spacing w:afterLines="50" w:after="120" w:line="240" w:lineRule="atLeast"/>
        <w:ind w:left="720" w:hanging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目的：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br/>
      </w:r>
      <w:r>
        <w:rPr>
          <w:rFonts w:ascii="標楷體" w:eastAsia="標楷體" w:hAnsi="標楷體" w:hint="eastAsia"/>
          <w:sz w:val="28"/>
          <w:szCs w:val="28"/>
        </w:rPr>
        <w:t>為提昇東部地區測量人員素質暨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103年底特種考試地方政府公務人員考試四等考試，特舉辦此項推廣教育。</w:t>
      </w:r>
    </w:p>
    <w:p w:rsidR="00C12717" w:rsidRDefault="00C12717" w:rsidP="00C12717">
      <w:pPr>
        <w:numPr>
          <w:ilvl w:val="0"/>
          <w:numId w:val="1"/>
        </w:numPr>
        <w:tabs>
          <w:tab w:val="clear" w:pos="450"/>
          <w:tab w:val="num" w:pos="720"/>
        </w:tabs>
        <w:snapToGrid w:val="0"/>
        <w:spacing w:line="240" w:lineRule="atLeast"/>
        <w:ind w:left="720" w:hanging="720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考試日期:</w:t>
      </w:r>
    </w:p>
    <w:p w:rsidR="00C12717" w:rsidRDefault="00C12717" w:rsidP="00C12717">
      <w:pPr>
        <w:snapToGrid w:val="0"/>
        <w:spacing w:afterLines="50" w:after="120" w:line="240" w:lineRule="atLeast"/>
        <w:ind w:leftChars="290" w:left="1256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 xml:space="preserve">) </w:t>
      </w:r>
      <w:hyperlink r:id="rId6" w:tooltip="99年特種考試地方政府公務人員考試" w:history="1">
        <w:r>
          <w:rPr>
            <w:rStyle w:val="a3"/>
            <w:rFonts w:ascii="標楷體" w:eastAsia="標楷體" w:hAnsi="標楷體" w:hint="eastAsia"/>
            <w:bCs/>
            <w:color w:val="000000"/>
            <w:sz w:val="28"/>
            <w:szCs w:val="28"/>
            <w:u w:val="none"/>
          </w:rPr>
          <w:t>103年特種考試地方政府公務人員考試</w:t>
        </w:r>
      </w:hyperlink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約103年12月下旬</w:t>
      </w:r>
    </w:p>
    <w:p w:rsidR="00C12717" w:rsidRDefault="00C12717" w:rsidP="00C12717">
      <w:pPr>
        <w:numPr>
          <w:ilvl w:val="0"/>
          <w:numId w:val="1"/>
        </w:numPr>
        <w:tabs>
          <w:tab w:val="clear" w:pos="450"/>
          <w:tab w:val="num" w:pos="720"/>
        </w:tabs>
        <w:snapToGrid w:val="0"/>
        <w:spacing w:line="240" w:lineRule="atLeast"/>
        <w:ind w:left="720" w:hanging="720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測量製圖類科考試科目：</w:t>
      </w:r>
    </w:p>
    <w:p w:rsidR="00C12717" w:rsidRDefault="00C12717" w:rsidP="00C12717">
      <w:pPr>
        <w:snapToGrid w:val="0"/>
        <w:spacing w:line="240" w:lineRule="atLeast"/>
        <w:ind w:leftChars="300" w:left="254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cs="Arial" w:hint="eastAsia"/>
          <w:bCs/>
          <w:color w:val="0000FF"/>
          <w:sz w:val="28"/>
          <w:szCs w:val="28"/>
          <w:u w:val="single"/>
        </w:rPr>
        <w:t>共同科目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國文（作文、公文與測驗）</w:t>
      </w:r>
      <w:r>
        <w:rPr>
          <w:rFonts w:ascii="標楷體" w:eastAsia="標楷體" w:hAnsi="標楷體" w:hint="eastAsia"/>
          <w:sz w:val="28"/>
          <w:szCs w:val="28"/>
        </w:rPr>
        <w:br/>
        <w:t>法學知識與英文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包括中華民國憲法；地方自治法規：含    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      地方制度法、財政收支劃分法；英文。）</w:t>
      </w:r>
    </w:p>
    <w:p w:rsidR="00C12717" w:rsidRDefault="00C12717" w:rsidP="00C12717">
      <w:pPr>
        <w:snapToGrid w:val="0"/>
        <w:spacing w:afterLines="50" w:after="120" w:line="240" w:lineRule="atLeast"/>
        <w:ind w:leftChars="316" w:left="2718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專業科目</w:t>
      </w:r>
      <w:r>
        <w:rPr>
          <w:rFonts w:ascii="標楷體" w:eastAsia="標楷體" w:hAnsi="標楷體" w:hint="eastAsia"/>
          <w:sz w:val="28"/>
          <w:szCs w:val="28"/>
        </w:rPr>
        <w:t>：測量學概要</w:t>
      </w:r>
      <w:r>
        <w:rPr>
          <w:rFonts w:ascii="標楷體" w:eastAsia="標楷體" w:hAnsi="標楷體" w:hint="eastAsia"/>
          <w:sz w:val="28"/>
          <w:szCs w:val="28"/>
        </w:rPr>
        <w:br/>
      </w:r>
      <w:proofErr w:type="gramStart"/>
      <w:r>
        <w:rPr>
          <w:rFonts w:ascii="標楷體" w:eastAsia="標楷體" w:hAnsi="標楷體" w:hint="eastAsia"/>
          <w:sz w:val="28"/>
          <w:szCs w:val="28"/>
        </w:rPr>
        <w:t>測量平差法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概要</w:t>
      </w:r>
      <w:r>
        <w:rPr>
          <w:rFonts w:ascii="標楷體" w:eastAsia="標楷體" w:hAnsi="標楷體" w:hint="eastAsia"/>
          <w:sz w:val="28"/>
          <w:szCs w:val="28"/>
        </w:rPr>
        <w:br/>
        <w:t>地理資訊系統與製圖學概要</w:t>
      </w:r>
      <w:r>
        <w:rPr>
          <w:rFonts w:ascii="標楷體" w:eastAsia="標楷體" w:hAnsi="標楷體" w:hint="eastAsia"/>
          <w:sz w:val="28"/>
          <w:szCs w:val="28"/>
        </w:rPr>
        <w:br/>
        <w:t>土地法概要（包括地籍測量法規）</w:t>
      </w:r>
    </w:p>
    <w:p w:rsidR="00C12717" w:rsidRDefault="00C12717" w:rsidP="00C12717">
      <w:pPr>
        <w:numPr>
          <w:ilvl w:val="0"/>
          <w:numId w:val="1"/>
        </w:numPr>
        <w:tabs>
          <w:tab w:val="clear" w:pos="450"/>
          <w:tab w:val="num" w:pos="720"/>
        </w:tabs>
        <w:snapToGrid w:val="0"/>
        <w:spacing w:line="240" w:lineRule="atLeast"/>
        <w:ind w:left="720" w:hanging="720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應考資格：</w:t>
      </w:r>
    </w:p>
    <w:tbl>
      <w:tblPr>
        <w:tblW w:w="46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970"/>
        <w:gridCol w:w="2119"/>
        <w:gridCol w:w="2197"/>
      </w:tblGrid>
      <w:tr w:rsidR="00C12717" w:rsidTr="002F3802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7"/>
                <w:kern w:val="0"/>
                <w:sz w:val="28"/>
                <w:szCs w:val="28"/>
              </w:rPr>
              <w:t>考試名稱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特種考試地方政府公務人員考試、高普考</w:t>
            </w:r>
          </w:p>
        </w:tc>
      </w:tr>
      <w:tr w:rsidR="00C12717" w:rsidTr="002F3802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7"/>
                <w:kern w:val="0"/>
                <w:sz w:val="28"/>
                <w:szCs w:val="28"/>
              </w:rPr>
              <w:t>等級別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普考、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四等考試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7"/>
                <w:kern w:val="0"/>
                <w:sz w:val="28"/>
                <w:szCs w:val="28"/>
              </w:rPr>
              <w:t>類科別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測量製圖</w:t>
            </w:r>
          </w:p>
        </w:tc>
      </w:tr>
      <w:tr w:rsidR="00C12717" w:rsidTr="002F3802">
        <w:trPr>
          <w:trHeight w:val="10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</w:pPr>
            <w:r>
              <w:rPr>
                <w:rFonts w:ascii="標楷體" w:eastAsia="標楷體" w:hAnsi="標楷體" w:cs="Arial" w:hint="eastAsia"/>
                <w:bCs/>
                <w:color w:val="000000"/>
                <w:spacing w:val="17"/>
                <w:kern w:val="0"/>
                <w:sz w:val="28"/>
                <w:szCs w:val="28"/>
              </w:rPr>
              <w:t>應考資格</w:t>
            </w:r>
          </w:p>
        </w:tc>
        <w:tc>
          <w:tcPr>
            <w:tcW w:w="4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17" w:rsidRDefault="00C12717">
            <w:pPr>
              <w:spacing w:line="460" w:lineRule="exact"/>
              <w:ind w:left="420" w:hangingChars="150" w:hanging="42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一、公立或立案之私立專科以上學校或符合教育部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認規定之國外專科以上學校土木工程、土木測量、土木與水資源工程、土木與生態工程、土地管理、土地管理與開發、不動產與城鄉環境、水土保持、水利工程、水資源及環境工程、生物環境系統工程、地政、地球物理、地球科學、地理、地理環境資源、地質、地質科學、河海工程、建築、軍事工程、海洋環境、海洋環境工程、航空測量、都市計畫、森林、森林暨自然保育、森林環境暨資源、測量工程、測量及空間資訊、測繪工程、農村規劃技術、農業土木工程、農業工程、製圖、數學、應用數學、營建工程技術、環境工程、礦業各所系科畢業得有證書者。</w:t>
            </w:r>
          </w:p>
          <w:p w:rsidR="00C12717" w:rsidRDefault="00C12717">
            <w:pPr>
              <w:spacing w:line="460" w:lineRule="exact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二、公立或立案之私立高級工業職業學校或高級中學工科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或</w:t>
            </w:r>
          </w:p>
          <w:p w:rsidR="00C12717" w:rsidRDefault="00C12717">
            <w:pPr>
              <w:spacing w:line="460" w:lineRule="exact"/>
              <w:ind w:firstLineChars="150" w:firstLine="42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其他工科同等學校相當類科畢業得有證書者。</w:t>
            </w:r>
          </w:p>
        </w:tc>
      </w:tr>
    </w:tbl>
    <w:p w:rsidR="00C12717" w:rsidRDefault="00C12717" w:rsidP="00C12717">
      <w:pPr>
        <w:numPr>
          <w:ilvl w:val="0"/>
          <w:numId w:val="2"/>
        </w:numPr>
        <w:snapToGrid w:val="0"/>
        <w:spacing w:beforeLines="50" w:before="120" w:afterLines="50" w:after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lastRenderedPageBreak/>
        <w:t>招生對象：</w:t>
      </w:r>
      <w:r>
        <w:rPr>
          <w:rFonts w:ascii="標楷體" w:eastAsia="標楷體" w:hAnsi="標楷體" w:hint="eastAsia"/>
          <w:sz w:val="28"/>
          <w:szCs w:val="28"/>
        </w:rPr>
        <w:t>符合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普通考試或測量製圖類科四等考試應</w:t>
      </w:r>
      <w:r>
        <w:rPr>
          <w:rFonts w:ascii="標楷體" w:eastAsia="標楷體" w:hAnsi="標楷體" w:hint="eastAsia"/>
          <w:sz w:val="28"/>
          <w:szCs w:val="28"/>
        </w:rPr>
        <w:t>考資格之應試人員。</w:t>
      </w:r>
    </w:p>
    <w:p w:rsidR="00C12717" w:rsidRDefault="00C12717" w:rsidP="00C12717">
      <w:pPr>
        <w:numPr>
          <w:ilvl w:val="0"/>
          <w:numId w:val="2"/>
        </w:numPr>
        <w:snapToGrid w:val="0"/>
        <w:spacing w:beforeLines="50" w:before="120" w:afterLines="50" w:after="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上課期程：</w:t>
      </w:r>
      <w:r>
        <w:rPr>
          <w:rFonts w:ascii="標楷體" w:eastAsia="標楷體" w:hAnsi="標楷體" w:hint="eastAsia"/>
          <w:sz w:val="28"/>
          <w:szCs w:val="28"/>
        </w:rPr>
        <w:br/>
        <w:t>上課期間自103年7月起至11月止，總時數84小時。（詳情請參見課表）</w:t>
      </w:r>
      <w:r>
        <w:rPr>
          <w:rFonts w:ascii="標楷體" w:eastAsia="標楷體" w:hAnsi="標楷體" w:hint="eastAsia"/>
          <w:sz w:val="28"/>
          <w:szCs w:val="28"/>
        </w:rPr>
        <w:br/>
        <w:t>上課時間為週六上午9時至12時、下午2時至5時。</w:t>
      </w:r>
    </w:p>
    <w:p w:rsidR="00C12717" w:rsidRDefault="00C12717" w:rsidP="00C12717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財務計畫：</w:t>
      </w:r>
    </w:p>
    <w:p w:rsidR="00C12717" w:rsidRDefault="00C12717" w:rsidP="00C12717">
      <w:pPr>
        <w:snapToGrid w:val="0"/>
        <w:spacing w:afterLines="50" w:after="120" w:line="240" w:lineRule="atLeast"/>
        <w:ind w:leftChars="232" w:left="5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新生學費</w:t>
      </w:r>
      <w:r>
        <w:rPr>
          <w:rFonts w:ascii="標楷體" w:eastAsia="標楷體" w:hAnsi="標楷體" w:hint="eastAsia"/>
          <w:sz w:val="28"/>
          <w:szCs w:val="28"/>
        </w:rPr>
        <w:t>：NT.12,000元整。</w:t>
      </w:r>
      <w:r>
        <w:rPr>
          <w:rFonts w:ascii="標楷體" w:eastAsia="標楷體" w:hAnsi="標楷體" w:hint="eastAsia"/>
          <w:sz w:val="28"/>
          <w:szCs w:val="28"/>
        </w:rPr>
        <w:br/>
        <w:t>（二）</w:t>
      </w:r>
      <w:r>
        <w:rPr>
          <w:rFonts w:ascii="標楷體" w:eastAsia="標楷體" w:hAnsi="標楷體" w:hint="eastAsia"/>
          <w:kern w:val="0"/>
          <w:sz w:val="28"/>
          <w:szCs w:val="28"/>
        </w:rPr>
        <w:t>舊學員優惠價：NT.6,000元整。</w:t>
      </w:r>
      <w:r>
        <w:rPr>
          <w:rFonts w:ascii="標楷體" w:eastAsia="標楷體" w:hAnsi="標楷體" w:hint="eastAsia"/>
          <w:sz w:val="28"/>
          <w:szCs w:val="28"/>
        </w:rPr>
        <w:br/>
        <w:t>（三）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學員另繳</w:t>
      </w:r>
      <w:proofErr w:type="gramEnd"/>
      <w:r>
        <w:rPr>
          <w:rFonts w:ascii="標楷體" w:eastAsia="標楷體" w:hAnsi="標楷體" w:hint="eastAsia"/>
          <w:sz w:val="28"/>
          <w:szCs w:val="28"/>
        </w:rPr>
        <w:t>2,500元教材費（代訂教科書及講義用），多退少補。</w:t>
      </w:r>
    </w:p>
    <w:p w:rsidR="00C12717" w:rsidRDefault="00C12717" w:rsidP="00C12717">
      <w:pPr>
        <w:numPr>
          <w:ilvl w:val="0"/>
          <w:numId w:val="2"/>
        </w:numPr>
        <w:snapToGrid w:val="0"/>
        <w:spacing w:afterLines="50" w:after="120" w:line="240" w:lineRule="atLeast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教科書版本：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（若改版則優先訂購新版本）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（一）施永富《測量學》三民書局出版。</w:t>
      </w:r>
      <w:r>
        <w:rPr>
          <w:rFonts w:ascii="標楷體" w:eastAsia="標楷體" w:hAnsi="標楷體" w:hint="eastAsia"/>
          <w:sz w:val="28"/>
          <w:szCs w:val="28"/>
        </w:rPr>
        <w:br/>
        <w:t>（二）蘇安三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《測量平差法精要》文笙書局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出版。</w:t>
      </w:r>
      <w:r>
        <w:rPr>
          <w:rFonts w:ascii="標楷體" w:eastAsia="標楷體" w:hAnsi="標楷體" w:hint="eastAsia"/>
          <w:sz w:val="28"/>
          <w:szCs w:val="28"/>
        </w:rPr>
        <w:br/>
        <w:t>（三）唐  城《測量平差法概論》</w:t>
      </w:r>
      <w:r>
        <w:rPr>
          <w:rFonts w:ascii="標楷體" w:eastAsia="標楷體" w:hAnsi="標楷體" w:hint="eastAsia"/>
          <w:sz w:val="28"/>
          <w:szCs w:val="28"/>
        </w:rPr>
        <w:br/>
        <w:t>（四）許文昌《土地法規》高點出版社。</w:t>
      </w:r>
      <w:r>
        <w:rPr>
          <w:rFonts w:ascii="標楷體" w:eastAsia="標楷體" w:hAnsi="標楷體" w:hint="eastAsia"/>
          <w:sz w:val="28"/>
          <w:szCs w:val="28"/>
        </w:rPr>
        <w:br/>
        <w:t>（五）教師自製講義：測量規則教材、地理資訊系統暨製圖學概論。</w:t>
      </w:r>
    </w:p>
    <w:p w:rsidR="00C12717" w:rsidRDefault="00C12717" w:rsidP="00C12717">
      <w:pPr>
        <w:numPr>
          <w:ilvl w:val="0"/>
          <w:numId w:val="2"/>
        </w:numPr>
        <w:snapToGrid w:val="0"/>
        <w:spacing w:afterLines="50" w:after="120" w:line="240" w:lineRule="atLeast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br/>
        <w:t>國立空中大學花蓮學習指導中心。電話：（03）8222148 #2213</w:t>
      </w:r>
      <w:r>
        <w:rPr>
          <w:rFonts w:ascii="標楷體" w:eastAsia="標楷體" w:hAnsi="標楷體" w:hint="eastAsia"/>
          <w:sz w:val="28"/>
          <w:szCs w:val="28"/>
        </w:rPr>
        <w:br/>
        <w:t>地址：970花蓮市華西路123號(國立東華大學</w:t>
      </w:r>
      <w:r>
        <w:rPr>
          <w:rFonts w:ascii="標楷體" w:eastAsia="標楷體" w:hAnsi="標楷體" w:hint="eastAsia"/>
          <w:sz w:val="28"/>
          <w:szCs w:val="28"/>
          <w:u w:val="single"/>
        </w:rPr>
        <w:t>美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校區</w:t>
      </w:r>
      <w:r>
        <w:rPr>
          <w:rFonts w:ascii="標楷體" w:eastAsia="標楷體" w:hAnsi="標楷體" w:hint="eastAsia"/>
          <w:sz w:val="28"/>
          <w:szCs w:val="28"/>
        </w:rPr>
        <w:t>體育館旁。)</w:t>
      </w:r>
    </w:p>
    <w:p w:rsidR="00C12717" w:rsidRDefault="00C12717" w:rsidP="00C12717">
      <w:pPr>
        <w:numPr>
          <w:ilvl w:val="0"/>
          <w:numId w:val="2"/>
        </w:numPr>
        <w:snapToGrid w:val="0"/>
        <w:spacing w:afterLines="50" w:after="120" w:line="240" w:lineRule="atLeast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報名：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br/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以25人為開班原則。</w:t>
      </w:r>
      <w:r>
        <w:rPr>
          <w:rFonts w:ascii="標楷體" w:eastAsia="標楷體" w:hAnsi="標楷體" w:hint="eastAsia"/>
          <w:sz w:val="28"/>
          <w:szCs w:val="28"/>
        </w:rPr>
        <w:br/>
        <w:t>（二）報名截止日: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103年7月19日(週五)。</w:t>
      </w:r>
      <w:r>
        <w:rPr>
          <w:rFonts w:ascii="標楷體" w:eastAsia="標楷體" w:hAnsi="標楷體" w:hint="eastAsia"/>
          <w:sz w:val="28"/>
          <w:szCs w:val="28"/>
        </w:rPr>
        <w:br/>
        <w:t>（三）報名請洽：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1.空中大學花蓮中心：李慶國先生03-8222148#2213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2.花蓮地政事務所：徐信誠課長</w:t>
      </w:r>
      <w:r>
        <w:rPr>
          <w:rFonts w:ascii="標楷體" w:eastAsia="標楷體" w:hAnsi="標楷體" w:hint="eastAsia"/>
          <w:w w:val="90"/>
          <w:sz w:val="28"/>
          <w:szCs w:val="28"/>
        </w:rPr>
        <w:t>03-8225135#360、0932650726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          張伯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先生03-8225135#217</w:t>
      </w:r>
      <w:r>
        <w:rPr>
          <w:rFonts w:ascii="標楷體" w:eastAsia="標楷體" w:hAnsi="標楷體" w:hint="eastAsia"/>
          <w:sz w:val="28"/>
          <w:szCs w:val="28"/>
        </w:rPr>
        <w:br/>
        <w:t xml:space="preserve">                    張志宇先生03-8225135#311</w:t>
      </w:r>
    </w:p>
    <w:p w:rsidR="00C12717" w:rsidRDefault="00C12717" w:rsidP="00C12717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  <w:t>師資：</w:t>
      </w:r>
    </w:p>
    <w:p w:rsidR="00C12717" w:rsidRDefault="00C12717" w:rsidP="00C12717">
      <w:pPr>
        <w:snapToGrid w:val="0"/>
        <w:spacing w:afterLines="50" w:after="120" w:line="240" w:lineRule="atLeast"/>
        <w:ind w:firstLineChars="200" w:firstLine="561"/>
        <w:rPr>
          <w:rFonts w:ascii="標楷體" w:eastAsia="標楷體" w:hAnsi="標楷體" w:hint="eastAsia"/>
          <w:w w:val="9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黃一釗(土地法規)</w:t>
      </w:r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w w:val="90"/>
          <w:sz w:val="28"/>
          <w:szCs w:val="28"/>
        </w:rPr>
        <w:t>76年土地測量高考及格、鳳林地政事務所秘書、花蓮地政事務所主任</w:t>
      </w:r>
    </w:p>
    <w:p w:rsidR="00C12717" w:rsidRDefault="00C12717" w:rsidP="00C12717">
      <w:pPr>
        <w:snapToGrid w:val="0"/>
        <w:spacing w:line="240" w:lineRule="atLeast"/>
        <w:ind w:firstLineChars="200" w:firstLine="561"/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徐信誠(地理資訊系統與製圖學概要)</w:t>
      </w:r>
    </w:p>
    <w:p w:rsidR="00C12717" w:rsidRDefault="00C12717" w:rsidP="00C12717">
      <w:pPr>
        <w:tabs>
          <w:tab w:val="num" w:pos="720"/>
        </w:tabs>
        <w:snapToGrid w:val="0"/>
        <w:spacing w:afterLines="50" w:after="120" w:line="240" w:lineRule="atLeast"/>
        <w:ind w:firstLineChars="550" w:firstLine="15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96年測量製圖高考及格、花蓮地政事務所測量課課長、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地用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課長</w:t>
      </w:r>
    </w:p>
    <w:p w:rsidR="00C12717" w:rsidRDefault="00C12717" w:rsidP="00C12717">
      <w:pPr>
        <w:tabs>
          <w:tab w:val="num" w:pos="720"/>
        </w:tabs>
        <w:snapToGrid w:val="0"/>
        <w:spacing w:afterLines="50" w:after="120" w:line="240" w:lineRule="atLeast"/>
        <w:ind w:leftChars="226" w:left="1576" w:hangingChars="369" w:hanging="103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張伯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偈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(測量學)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w w:val="95"/>
          <w:sz w:val="28"/>
          <w:szCs w:val="28"/>
        </w:rPr>
        <w:t>93年測量製圖高考及格、93年三等考試測量製圖(北區)及格、薦任測量員</w:t>
      </w:r>
    </w:p>
    <w:p w:rsidR="00C12717" w:rsidRDefault="00C12717" w:rsidP="00C12717">
      <w:pPr>
        <w:tabs>
          <w:tab w:val="num" w:pos="720"/>
        </w:tabs>
        <w:snapToGrid w:val="0"/>
        <w:spacing w:afterLines="50" w:after="120" w:line="240" w:lineRule="atLeast"/>
        <w:ind w:leftChars="226" w:left="1615" w:hangingChars="383" w:hanging="107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張志宇(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測量平差法</w:t>
      </w:r>
      <w:proofErr w:type="gramEnd"/>
      <w:r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概要)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lastRenderedPageBreak/>
        <w:t>98年四等考試測量製圖(東區)及格、99年三等考試測量製圖(花東區)及格、薦任測量員</w:t>
      </w:r>
    </w:p>
    <w:p w:rsidR="00C12717" w:rsidRDefault="00C12717" w:rsidP="00C12717">
      <w:pPr>
        <w:tabs>
          <w:tab w:val="num" w:pos="720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shd w:val="pct15" w:color="auto" w:fill="FFFFFF"/>
        </w:rPr>
        <w:t>十二、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shd w:val="pct15" w:color="auto" w:fill="FFFFFF"/>
        </w:rPr>
        <w:t>訓練課程及日程安排：</w:t>
      </w:r>
    </w:p>
    <w:tbl>
      <w:tblPr>
        <w:tblW w:w="1022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4071"/>
        <w:gridCol w:w="3853"/>
      </w:tblGrid>
      <w:tr w:rsidR="00C12717" w:rsidTr="002F3802">
        <w:trPr>
          <w:cantSplit/>
          <w:trHeight w:val="694"/>
        </w:trPr>
        <w:tc>
          <w:tcPr>
            <w:tcW w:w="10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年度第2期『測量人員專業訓練推廣教育』課表</w:t>
            </w:r>
          </w:p>
          <w:p w:rsidR="00C12717" w:rsidRDefault="00C12717">
            <w:pPr>
              <w:jc w:val="right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2014-5-20</w:t>
            </w:r>
          </w:p>
        </w:tc>
      </w:tr>
      <w:tr w:rsidR="00C12717" w:rsidTr="002F3802">
        <w:trPr>
          <w:trHeight w:val="5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上課月份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上課日期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（週六）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上課時間 / 授課老師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09:00 ～ 12:00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上課時間 / 授課老師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kern w:val="0"/>
                <w:sz w:val="28"/>
                <w:szCs w:val="28"/>
              </w:rPr>
              <w:t>14:00 ～ 17:00</w:t>
            </w:r>
          </w:p>
        </w:tc>
      </w:tr>
      <w:tr w:rsidR="00C12717" w:rsidTr="002F3802">
        <w:trPr>
          <w:trHeight w:val="7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導讀及土地法概要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</w:tr>
      <w:tr w:rsidR="00C12717" w:rsidTr="002F3802">
        <w:trPr>
          <w:trHeight w:val="701"/>
        </w:trPr>
        <w:tc>
          <w:tcPr>
            <w:tcW w:w="8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4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7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85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</w:tr>
      <w:tr w:rsidR="00C12717" w:rsidTr="002F3802">
        <w:trPr>
          <w:trHeight w:val="8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</w:tr>
      <w:tr w:rsidR="00C12717" w:rsidTr="002F3802">
        <w:trPr>
          <w:trHeight w:val="6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C12717" w:rsidTr="002F3802">
        <w:trPr>
          <w:trHeight w:val="6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</w:tr>
      <w:tr w:rsidR="00C12717" w:rsidTr="002F3802">
        <w:trPr>
          <w:trHeight w:val="773"/>
        </w:trPr>
        <w:tc>
          <w:tcPr>
            <w:tcW w:w="8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4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7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  <w:tc>
          <w:tcPr>
            <w:tcW w:w="385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C12717" w:rsidTr="002F3802">
        <w:trPr>
          <w:trHeight w:val="6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C12717" w:rsidTr="002F3802">
        <w:trPr>
          <w:trHeight w:val="6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</w:tr>
      <w:tr w:rsidR="00C12717" w:rsidTr="002F3802">
        <w:trPr>
          <w:trHeight w:val="653"/>
        </w:trPr>
        <w:tc>
          <w:tcPr>
            <w:tcW w:w="8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7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</w:tr>
      <w:tr w:rsidR="00C12717" w:rsidTr="002F3802">
        <w:trPr>
          <w:trHeight w:val="7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C12717" w:rsidTr="002F3802">
        <w:trPr>
          <w:trHeight w:val="7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地理資訊系統與製圖學概要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（徐信誠）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C12717" w:rsidTr="002F3802">
        <w:trPr>
          <w:trHeight w:val="7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</w:tr>
      <w:tr w:rsidR="00C12717" w:rsidTr="002F3802">
        <w:trPr>
          <w:trHeight w:val="697"/>
        </w:trPr>
        <w:tc>
          <w:tcPr>
            <w:tcW w:w="8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4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71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測量平差法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（張志宇）</w:t>
            </w:r>
          </w:p>
        </w:tc>
      </w:tr>
      <w:tr w:rsidR="00C12717" w:rsidTr="002F3802">
        <w:trPr>
          <w:trHeight w:val="6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土地法規概要及地籍測量法規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（黃一釗）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測量學概要</w:t>
            </w:r>
          </w:p>
          <w:p w:rsidR="00C12717" w:rsidRDefault="00C127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（張伯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偈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C12717" w:rsidRDefault="00C12717" w:rsidP="00C12717">
      <w:pPr>
        <w:spacing w:afterLines="50" w:after="120"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CB312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B3123">
        <w:rPr>
          <w:rFonts w:ascii="標楷體" w:eastAsia="標楷體" w:hAnsi="標楷體" w:hint="eastAsia"/>
          <w:sz w:val="28"/>
          <w:szCs w:val="28"/>
        </w:rPr>
        <w:t>：此</w:t>
      </w:r>
      <w:proofErr w:type="gramStart"/>
      <w:r w:rsidRPr="00CB3123">
        <w:rPr>
          <w:rFonts w:ascii="標楷體" w:eastAsia="標楷體" w:hAnsi="標楷體" w:hint="eastAsia"/>
          <w:sz w:val="28"/>
          <w:szCs w:val="28"/>
        </w:rPr>
        <w:t>為預排課程表</w:t>
      </w:r>
      <w:proofErr w:type="gramEnd"/>
      <w:r w:rsidRPr="00CB3123">
        <w:rPr>
          <w:rFonts w:ascii="標楷體" w:eastAsia="標楷體" w:hAnsi="標楷體" w:hint="eastAsia"/>
          <w:sz w:val="28"/>
          <w:szCs w:val="28"/>
        </w:rPr>
        <w:t>，仍可能因故進行調整，正式課表於開課後發放。</w:t>
      </w:r>
    </w:p>
    <w:p w:rsidR="00576DA7" w:rsidRPr="00C12717" w:rsidRDefault="00576DA7" w:rsidP="00CB3123">
      <w:pPr>
        <w:pStyle w:val="Web"/>
        <w:adjustRightInd w:val="0"/>
        <w:snapToGrid w:val="0"/>
        <w:spacing w:before="0" w:beforeAutospacing="0" w:after="0" w:afterAutospacing="0"/>
      </w:pPr>
      <w:bookmarkStart w:id="0" w:name="_GoBack"/>
      <w:bookmarkEnd w:id="0"/>
    </w:p>
    <w:sectPr w:rsidR="00576DA7" w:rsidRPr="00C12717" w:rsidSect="00CB31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756"/>
    <w:multiLevelType w:val="hybridMultilevel"/>
    <w:tmpl w:val="AC26A598"/>
    <w:lvl w:ilvl="0" w:tplc="2AE26FA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b/>
      </w:rPr>
    </w:lvl>
    <w:lvl w:ilvl="1" w:tplc="F1283E52">
      <w:start w:val="1"/>
      <w:numFmt w:val="taiwaneseCountingThousand"/>
      <w:lvlText w:val="%2、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cs="Times New Roman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1E0CB3"/>
    <w:multiLevelType w:val="hybridMultilevel"/>
    <w:tmpl w:val="02D04952"/>
    <w:lvl w:ilvl="0" w:tplc="305EEF80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17"/>
    <w:rsid w:val="002F3802"/>
    <w:rsid w:val="00576DA7"/>
    <w:rsid w:val="00C12717"/>
    <w:rsid w:val="00C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717"/>
    <w:rPr>
      <w:color w:val="0563C1" w:themeColor="hyperlink"/>
      <w:u w:val="single"/>
    </w:rPr>
  </w:style>
  <w:style w:type="paragraph" w:styleId="Web">
    <w:name w:val="Normal (Web)"/>
    <w:basedOn w:val="a"/>
    <w:unhideWhenUsed/>
    <w:rsid w:val="00C127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B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1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717"/>
    <w:rPr>
      <w:color w:val="0563C1" w:themeColor="hyperlink"/>
      <w:u w:val="single"/>
    </w:rPr>
  </w:style>
  <w:style w:type="paragraph" w:styleId="Web">
    <w:name w:val="Normal (Web)"/>
    <w:basedOn w:val="a"/>
    <w:unhideWhenUsed/>
    <w:rsid w:val="00C127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B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c.moex.gov.tw/ct.asp?xItem=16960&amp;ctNode=2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2014-07-04T01:28:00Z</cp:lastPrinted>
  <dcterms:created xsi:type="dcterms:W3CDTF">2014-07-04T01:19:00Z</dcterms:created>
  <dcterms:modified xsi:type="dcterms:W3CDTF">2014-07-04T01:29:00Z</dcterms:modified>
</cp:coreProperties>
</file>